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6210" w14:textId="77777777" w:rsidR="00A44BEE" w:rsidRDefault="00CC057F">
      <w:r>
        <w:t>Initiative Gewerkschaften gegen Aufrüstung und Krieg, 08.05.2026</w:t>
      </w:r>
    </w:p>
    <w:p w14:paraId="12ABBE9B" w14:textId="3575FCF7" w:rsidR="00A44BEE" w:rsidRDefault="00CC057F">
      <w:pPr>
        <w:rPr>
          <w:b/>
          <w:bCs/>
        </w:rPr>
      </w:pPr>
      <w:r>
        <w:rPr>
          <w:b/>
          <w:bCs/>
        </w:rPr>
        <w:t>Vorschlägen für Änderungsanträge</w:t>
      </w:r>
      <w:r>
        <w:rPr>
          <w:b/>
          <w:bCs/>
        </w:rPr>
        <w:t xml:space="preserve"> z</w:t>
      </w:r>
      <w:r>
        <w:rPr>
          <w:b/>
          <w:bCs/>
        </w:rPr>
        <w:t xml:space="preserve">um Initiativantrag </w:t>
      </w:r>
      <w:r>
        <w:rPr>
          <w:b/>
          <w:bCs/>
        </w:rPr>
        <w:br/>
      </w:r>
      <w:r>
        <w:rPr>
          <w:b/>
          <w:bCs/>
        </w:rPr>
        <w:t xml:space="preserve">„Friedensfähig statt kriegstüchtig“ des </w:t>
      </w:r>
      <w:proofErr w:type="gramStart"/>
      <w:r>
        <w:rPr>
          <w:b/>
          <w:bCs/>
        </w:rPr>
        <w:t>DGB Bundesvorstands</w:t>
      </w:r>
      <w:proofErr w:type="gramEnd"/>
    </w:p>
    <w:p w14:paraId="61BBFC06" w14:textId="77777777" w:rsidR="00A44BEE" w:rsidRDefault="00A44BEE"/>
    <w:p w14:paraId="079ADAAB" w14:textId="77777777" w:rsidR="00A44BEE" w:rsidRDefault="00CC057F">
      <w:r>
        <w:rPr>
          <w:b/>
          <w:bCs/>
        </w:rPr>
        <w:t>Änderungsantrag 57</w:t>
      </w:r>
      <w:r>
        <w:t xml:space="preserve">: Z. 7-10 umformulieren, ergänzen: wirkt der Ukrainekrieg wie ein </w:t>
      </w:r>
      <w:r>
        <w:rPr>
          <w:u w:val="single"/>
        </w:rPr>
        <w:t>Brandbeschleuniger, nachdem schon 1999 die NATO gegen Jugoslawien und die USA mit Verbündeten seit 2003 im Irak völkerrechtswidrige Kriege geführt hatten</w:t>
      </w:r>
      <w:r>
        <w:t xml:space="preserve">. Seit seinem Beginn wird immer deutlicher, womit wir es inzwischen zu tun haben – mit einer Neuordnung der Welt, in deren Zuge </w:t>
      </w:r>
      <w:r>
        <w:rPr>
          <w:u w:val="single"/>
        </w:rPr>
        <w:t>besonders die Politik der USA, Israels und Russlands</w:t>
      </w:r>
      <w:r>
        <w:t xml:space="preserve"> immer offener einer brutalen Machtlogik folgen.</w:t>
      </w:r>
    </w:p>
    <w:p w14:paraId="5AC37CD4" w14:textId="77777777" w:rsidR="00A44BEE" w:rsidRDefault="00CC057F">
      <w:pPr>
        <w:rPr>
          <w:i/>
          <w:iCs/>
        </w:rPr>
      </w:pPr>
      <w:r>
        <w:rPr>
          <w:i/>
          <w:iCs/>
        </w:rPr>
        <w:t>Begründung: Insbesondere die USA verfolgen seit Jahrzehnten eine brutale Machtpolitik mit völkerrechtswidrigen Kriegen, Militärinterventionen und Wirtschaftskriegen gegen eine Vielzahl von Ländern in Asien, Afrika und Lateinamerika. Israel setzt offenbar auch auf eine militärische Expansionspolitik. Die bisherige Fokussierung nur auf den Ukrainekrieg und die Formulierung „nicht mehr nur die russische Politik“ wird den historischen Fakten nicht gerecht.</w:t>
      </w:r>
    </w:p>
    <w:p w14:paraId="1898BF63" w14:textId="77777777" w:rsidR="00A44BEE" w:rsidRDefault="00CC057F">
      <w:r>
        <w:rPr>
          <w:b/>
          <w:bCs/>
        </w:rPr>
        <w:t>Änderungsantrag 67</w:t>
      </w:r>
      <w:r>
        <w:t xml:space="preserve">: Z. 112-114 anfügen: Der völkerrechtswidrige Angriffskrieg Russlands gegen die Ukraine hat den Krieg in die unmittelbare Nachbarschaft der Europäischen Union gebracht und erzeugt eine neue Bedrohungslage in Europa, die mit erheblichen Eskalationsgefahren verbunden ist </w:t>
      </w:r>
      <w:r>
        <w:rPr>
          <w:u w:val="single"/>
        </w:rPr>
        <w:t>– auch durch die darauf reagierenden Waffenlieferungen und Sanktionsmaßnahmen der EU und NATO-Staaten und damit Deutschlands.</w:t>
      </w:r>
    </w:p>
    <w:p w14:paraId="36F301CC" w14:textId="77777777" w:rsidR="00A44BEE" w:rsidRDefault="00CC057F">
      <w:pPr>
        <w:rPr>
          <w:i/>
          <w:iCs/>
        </w:rPr>
      </w:pPr>
      <w:r>
        <w:rPr>
          <w:i/>
          <w:iCs/>
        </w:rPr>
        <w:t>Begründung: Die gesamteuropäische Bedrohungslage wird vergrößert, weil der Krieg so zunehmend zu einem zwischen NATO und EU und Russland wird. Deutschland ist dabei beteiligt.</w:t>
      </w:r>
    </w:p>
    <w:p w14:paraId="2398B7DE" w14:textId="77777777" w:rsidR="00A44BEE" w:rsidRDefault="00CC057F">
      <w:r>
        <w:rPr>
          <w:b/>
          <w:bCs/>
        </w:rPr>
        <w:t>Änderungsantrag 68</w:t>
      </w:r>
      <w:r>
        <w:t xml:space="preserve">: Z. 140-145 Neufassung: </w:t>
      </w:r>
      <w:r>
        <w:rPr>
          <w:u w:val="single"/>
        </w:rPr>
        <w:t xml:space="preserve">Der Krieg Russlands in der Ukraine und die zunehmende Konfrontationspolitik der EU und den europäischen NATO-Staaten gegen Russland sowie die zunehmende Orientierung der USA auf ihre Konfrontation gegen China haben die sicherheitspolitische Lage in Europa verändert. Das Ziel muss sein, den Krieg so schnell wie möglich mit diplomatischen Mitteln zu beenden, zu einem sofortigen Waffenstillstand und zu einer neuen dauerhaften Friedensordnung in Europa zu kommen, und damit verbunden zu </w:t>
      </w:r>
      <w:r>
        <w:rPr>
          <w:u w:val="single"/>
        </w:rPr>
        <w:t>neuen Rüstungskontroll- und Abrüstungsvereinbarungen. Verteidigungsfähigkeit gegen militärische Bedrohungen und Erpressungsversuche ist erforderlich, aber nicht die Fähigkeit zu weltweiter militärischer Machtprojektion.</w:t>
      </w:r>
    </w:p>
    <w:p w14:paraId="34D28170" w14:textId="77777777" w:rsidR="00A44BEE" w:rsidRDefault="00CC057F">
      <w:pPr>
        <w:rPr>
          <w:i/>
          <w:iCs/>
        </w:rPr>
      </w:pPr>
      <w:r>
        <w:rPr>
          <w:i/>
          <w:iCs/>
        </w:rPr>
        <w:t xml:space="preserve">Begründung: Die USA waren hier nie v.a. als „Schutzmacht“, sondern zur Sicherung ihrer eigenen Interessen und Dominanz in Europa und ihrer militärischen Operationsfähigkeit auch in Asien und Afrika. Statt auf weitere lange Fortsetzung des opferreichen Kriegs in </w:t>
      </w:r>
      <w:r>
        <w:rPr>
          <w:i/>
          <w:iCs/>
        </w:rPr>
        <w:lastRenderedPageBreak/>
        <w:t>der Ukraine und auf fortschreitende Eskalation der Konfrontation gegen Russland müssen die Gewerkschaften auf Frieden und neue Rüstungskontrollvereinbarungen setzen. Ein fortgesetzter Rüstungswettlauf muss verhindert werden. Zudem geht es bei der Aufrüstung der Bundeswehr und der NATO keineswegs nur um Verteidigung, sondern auch um weltweite Interventionsfähigkeit.</w:t>
      </w:r>
    </w:p>
    <w:p w14:paraId="0ABC6B99" w14:textId="77777777" w:rsidR="00A44BEE" w:rsidRDefault="00CC057F">
      <w:r>
        <w:rPr>
          <w:b/>
          <w:bCs/>
        </w:rPr>
        <w:t>Änderungsantrag 70</w:t>
      </w:r>
      <w:r>
        <w:t xml:space="preserve">: Z. 301-303 umformulieren: </w:t>
      </w:r>
      <w:r>
        <w:rPr>
          <w:u w:val="single"/>
        </w:rPr>
        <w:t xml:space="preserve">Den massiven Aufwuchs des Rüstungsetats, den die Bundesregierung plant, die Steigerung der Militärausgaben Deutschlands auf knapp 200 Mrd. Euro </w:t>
      </w:r>
      <w:proofErr w:type="gramStart"/>
      <w:r>
        <w:rPr>
          <w:u w:val="single"/>
        </w:rPr>
        <w:t>in 2030</w:t>
      </w:r>
      <w:proofErr w:type="gramEnd"/>
      <w:r>
        <w:rPr>
          <w:u w:val="single"/>
        </w:rPr>
        <w:t>, fast ein Drittel des Bundeshaushalts, lehnt der DGB ab. Er ist zur Landes- und Bündnisverteidigung nicht nötig und würde</w:t>
      </w:r>
      <w:r>
        <w:t xml:space="preserve"> notwendige Ausgaben für die sozial- und klimagerechte Modernisierung und die soziale Sicherung verdrängen….</w:t>
      </w:r>
    </w:p>
    <w:p w14:paraId="7978921D" w14:textId="77777777" w:rsidR="00A44BEE" w:rsidRDefault="00CC057F">
      <w:pPr>
        <w:rPr>
          <w:i/>
          <w:iCs/>
        </w:rPr>
      </w:pPr>
      <w:r>
        <w:rPr>
          <w:i/>
          <w:iCs/>
        </w:rPr>
        <w:t>Begründung: Nicht nur das Fünf-Prozent-Ziel der NATO, sondern konkret die zur Umsetzung und sogar Übererfüllung dieses Ziels geplante Hochrüstung Deutschlands muss abgelehnt werden. 2030 sollen diese Militärausgaben nach Angaben der Bundesregierung 3,7 Prozent des BIP ausmachen, und dabei geht es um Militärausgaben im engeren Sinne, wofür die NATO ein 3,5-Prozent-Ziel vorgegeben hat.</w:t>
      </w:r>
    </w:p>
    <w:p w14:paraId="218A51F5" w14:textId="77777777" w:rsidR="00A44BEE" w:rsidRDefault="00CC057F">
      <w:r>
        <w:rPr>
          <w:b/>
          <w:bCs/>
        </w:rPr>
        <w:t>Änderungsantrag 71</w:t>
      </w:r>
      <w:r>
        <w:t xml:space="preserve">: Z. 325-327 umformulieren: </w:t>
      </w:r>
      <w:r>
        <w:rPr>
          <w:u w:val="single"/>
        </w:rPr>
        <w:t>Deshalb lehnen der DGB und seine Mitgliedsgewerkschaften das Fünf-Prozent-Ziel der NATO entschieden ab</w:t>
      </w:r>
      <w:r>
        <w:t>.</w:t>
      </w:r>
    </w:p>
    <w:p w14:paraId="5276DB60" w14:textId="77777777" w:rsidR="00A44BEE" w:rsidRDefault="00CC057F">
      <w:pPr>
        <w:rPr>
          <w:i/>
          <w:iCs/>
        </w:rPr>
      </w:pPr>
      <w:r>
        <w:rPr>
          <w:i/>
          <w:iCs/>
        </w:rPr>
        <w:t xml:space="preserve">Begründung: Das Fünf-Prozent-Ziel muss als solches abgelehnt werden, nicht nur seine willkürliche Festlegung. </w:t>
      </w:r>
    </w:p>
    <w:p w14:paraId="34CAD4A2" w14:textId="77777777" w:rsidR="00A44BEE" w:rsidRDefault="00CC057F">
      <w:r>
        <w:rPr>
          <w:b/>
          <w:bCs/>
        </w:rPr>
        <w:t>Änderungsantrag 72</w:t>
      </w:r>
      <w:r>
        <w:t xml:space="preserve">: Z. 361: neuen Satz einfügen: </w:t>
      </w:r>
      <w:r>
        <w:rPr>
          <w:u w:val="single"/>
        </w:rPr>
        <w:t>Das Gleiche gilt auch für eigene deutsche bzw. europäische Mittelstreckenwaffensysteme, die entwickelt und dann stationiert werden sollen.</w:t>
      </w:r>
    </w:p>
    <w:p w14:paraId="644C0DC3" w14:textId="77777777" w:rsidR="00A44BEE" w:rsidRDefault="00CC057F">
      <w:pPr>
        <w:rPr>
          <w:i/>
          <w:iCs/>
        </w:rPr>
      </w:pPr>
      <w:r>
        <w:rPr>
          <w:i/>
          <w:iCs/>
        </w:rPr>
        <w:t xml:space="preserve">Begründung: Auch die mit dem Projekt ELSA geplanten Mittelstreckenwaffen umfassen Marschflugkörper, ballistische Raketen und Hyperschallwaffen, die besonders vorwarnzeitverkürzend und damit destabilisierend wirken und </w:t>
      </w:r>
      <w:proofErr w:type="spellStart"/>
      <w:r>
        <w:rPr>
          <w:i/>
          <w:iCs/>
        </w:rPr>
        <w:t>Erstschlagspotenzial</w:t>
      </w:r>
      <w:proofErr w:type="spellEnd"/>
      <w:r>
        <w:rPr>
          <w:i/>
          <w:iCs/>
        </w:rPr>
        <w:t xml:space="preserve"> haben.</w:t>
      </w:r>
    </w:p>
    <w:p w14:paraId="54B8D38C" w14:textId="77777777" w:rsidR="00A44BEE" w:rsidRDefault="00CC057F">
      <w:r>
        <w:rPr>
          <w:b/>
          <w:bCs/>
        </w:rPr>
        <w:t>Änderungsantrag 73</w:t>
      </w:r>
      <w:r>
        <w:t xml:space="preserve">: Z. 374 neuen Satz einfügen: </w:t>
      </w:r>
      <w:r>
        <w:rPr>
          <w:u w:val="single"/>
        </w:rPr>
        <w:t>Angesichts der völkerrechtswidrigen Kriegs- und Besatzungspolitik Israels sind die Waffenlieferungen an und die militärische Zusammenarbeit mit Israel zu beenden.</w:t>
      </w:r>
    </w:p>
    <w:p w14:paraId="5198764E" w14:textId="77777777" w:rsidR="00A44BEE" w:rsidRDefault="00CC057F">
      <w:pPr>
        <w:rPr>
          <w:i/>
          <w:iCs/>
        </w:rPr>
      </w:pPr>
      <w:r>
        <w:rPr>
          <w:i/>
          <w:iCs/>
        </w:rPr>
        <w:t>Begründung: Im Antrag wird die Bedeutung des Völkerrechts als Maßstab betont und Doppelmoral abgelehnt. Der Angriff Israels und der USA gegen den Iran wird zurecht als völkerrechtswidrig bezeichnet, laut UN und IGH ist auch die Besatzungspolitik Israels völkerrechtswidrig. Daraus folgt, dass sie nicht durch Waffenlieferungen und militärische Zusammenarbeit unterstützt werden darf.</w:t>
      </w:r>
    </w:p>
    <w:p w14:paraId="60FF5D02" w14:textId="77777777" w:rsidR="00A44BEE" w:rsidRDefault="00CC057F">
      <w:r>
        <w:rPr>
          <w:b/>
          <w:bCs/>
        </w:rPr>
        <w:t>Änderungsantrag 61</w:t>
      </w:r>
      <w:r>
        <w:t xml:space="preserve">: Z. 375 neuen Absatz einfügen: </w:t>
      </w:r>
      <w:r>
        <w:rPr>
          <w:u w:val="single"/>
        </w:rPr>
        <w:t xml:space="preserve">Deutschland muss – wie Spanien es getan hat – den USA die Nutzung der Stützpunkte und des deutschen Territoriums </w:t>
      </w:r>
      <w:r>
        <w:rPr>
          <w:u w:val="single"/>
        </w:rPr>
        <w:lastRenderedPageBreak/>
        <w:t>und Luftraums für ihre völkerrechtswidrigen Kriege, gegen den Iran und in allen anderen Fällen, unverzüglich untersagen.</w:t>
      </w:r>
    </w:p>
    <w:p w14:paraId="3FA00B4A" w14:textId="77777777" w:rsidR="00A44BEE" w:rsidRDefault="00CC057F">
      <w:pPr>
        <w:rPr>
          <w:i/>
          <w:iCs/>
        </w:rPr>
      </w:pPr>
      <w:r>
        <w:t xml:space="preserve">Begründung: </w:t>
      </w:r>
      <w:r>
        <w:rPr>
          <w:i/>
          <w:iCs/>
        </w:rPr>
        <w:t>Im Antrag wird die Bedeutung des Völkerrechts als Maßstab betont und Doppelmoral abgelehnt. Der Angriff der USA gegen den Iran wird zurecht als völkerrechtswidrig bezeichnet, ebenso andere Aktionen der USA. Daraus folgt, dass sie nicht dadurch unterstützt werden dürfen, dass den USA die Nutzung ihrer Stützpunkte und des deutschen Luftraums dafür gestattet wird. Dass ergibt sich als Verpflichtung auch aus dem Grundgesetz, Artikel 25: „Die allgemeinen Regeln des Völkerrechts sind Bestandteil des Bundesrechts.</w:t>
      </w:r>
      <w:r>
        <w:rPr>
          <w:i/>
          <w:iCs/>
        </w:rPr>
        <w:t xml:space="preserve"> Sie gehen den Gesetzen vor und erzeugen Rechte und Pflichten unmittelbar für die Bewohner des Bundesgebietes.“ </w:t>
      </w:r>
    </w:p>
    <w:p w14:paraId="79DDEF7E" w14:textId="77777777" w:rsidR="00A44BEE" w:rsidRDefault="00CC057F">
      <w:r>
        <w:rPr>
          <w:b/>
          <w:bCs/>
        </w:rPr>
        <w:t>Änderungsantrag 62</w:t>
      </w:r>
      <w:r>
        <w:t xml:space="preserve">: Z. 413 neuen Absatz einfügen: </w:t>
      </w:r>
      <w:r>
        <w:rPr>
          <w:u w:val="single"/>
        </w:rPr>
        <w:t xml:space="preserve">Dabei ist aber zu beachten, dass die Meinungs-, Presse- und Demonstrationsfreiheit auch für Auffassungen gewahrt und geschützt bleibt, die im Widerspruch zur Politik und Auffassung der Bundesregierung, der EU oder der NATO stehen. Das ist eine unverzichtbare Anforderung der Demokratie. Die von der EU verhängten existenzgefährdenden und rechtsstaatswidrigen Sanktionen gegen Medienschaffende, wie den Berliner Journalisten und ver.di und </w:t>
      </w:r>
      <w:proofErr w:type="spellStart"/>
      <w:r>
        <w:rPr>
          <w:u w:val="single"/>
        </w:rPr>
        <w:t>dju</w:t>
      </w:r>
      <w:proofErr w:type="spellEnd"/>
      <w:r>
        <w:rPr>
          <w:u w:val="single"/>
        </w:rPr>
        <w:t>-Kollegen Hüseyin Dogru, die sich nich</w:t>
      </w:r>
      <w:r>
        <w:rPr>
          <w:u w:val="single"/>
        </w:rPr>
        <w:t>t strafbar gemacht haben und denen wirksamer Rechtsschutz faktisch verweigert wird, sind inakzeptabel und müssen sofort aufgehoben werden.</w:t>
      </w:r>
    </w:p>
    <w:p w14:paraId="5239BE44" w14:textId="77777777" w:rsidR="00A44BEE" w:rsidRDefault="00CC057F">
      <w:pPr>
        <w:rPr>
          <w:i/>
          <w:iCs/>
        </w:rPr>
      </w:pPr>
      <w:r>
        <w:rPr>
          <w:i/>
          <w:iCs/>
        </w:rPr>
        <w:t xml:space="preserve">Begründung: Siehe </w:t>
      </w:r>
      <w:proofErr w:type="spellStart"/>
      <w:r>
        <w:rPr>
          <w:i/>
          <w:iCs/>
        </w:rPr>
        <w:t>z.B</w:t>
      </w:r>
      <w:proofErr w:type="spellEnd"/>
      <w:r>
        <w:rPr>
          <w:i/>
          <w:iCs/>
        </w:rPr>
        <w:t xml:space="preserve">: </w:t>
      </w:r>
      <w:hyperlink r:id="rId5" w:history="1">
        <w:r>
          <w:rPr>
            <w:rStyle w:val="Hyperlink"/>
            <w:i/>
            <w:iCs/>
          </w:rPr>
          <w:t>https://perspektive-online.net/2026/03/wegen-kritischer-berichterstattung-eu-treibt-familie-von-hueseyin-dogru-in-den-ruin/</w:t>
        </w:r>
      </w:hyperlink>
      <w:r>
        <w:rPr>
          <w:i/>
          <w:iCs/>
        </w:rPr>
        <w:t xml:space="preserve"> </w:t>
      </w:r>
    </w:p>
    <w:sectPr w:rsidR="00A44BEE">
      <w:pgSz w:w="11906" w:h="16838"/>
      <w:pgMar w:top="1417" w:right="1417" w:bottom="1134"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EC2"/>
    <w:multiLevelType w:val="hybridMultilevel"/>
    <w:tmpl w:val="599C1D76"/>
    <w:lvl w:ilvl="0" w:tplc="A7726D96">
      <w:numFmt w:val="none"/>
      <w:lvlText w:val=""/>
      <w:lvlJc w:val="left"/>
      <w:pPr>
        <w:tabs>
          <w:tab w:val="num" w:pos="360"/>
        </w:tabs>
        <w:ind w:left="360" w:hanging="360"/>
      </w:pPr>
    </w:lvl>
    <w:lvl w:ilvl="1" w:tplc="81262730">
      <w:numFmt w:val="none"/>
      <w:lvlText w:val=""/>
      <w:lvlJc w:val="left"/>
      <w:pPr>
        <w:tabs>
          <w:tab w:val="num" w:pos="360"/>
        </w:tabs>
        <w:ind w:left="360" w:hanging="360"/>
      </w:pPr>
    </w:lvl>
    <w:lvl w:ilvl="2" w:tplc="B6EAD9FA">
      <w:numFmt w:val="none"/>
      <w:lvlText w:val=""/>
      <w:lvlJc w:val="left"/>
      <w:pPr>
        <w:tabs>
          <w:tab w:val="num" w:pos="360"/>
        </w:tabs>
        <w:ind w:left="360" w:hanging="360"/>
      </w:pPr>
    </w:lvl>
    <w:lvl w:ilvl="3" w:tplc="D832799A">
      <w:numFmt w:val="none"/>
      <w:lvlText w:val=""/>
      <w:lvlJc w:val="left"/>
      <w:pPr>
        <w:tabs>
          <w:tab w:val="num" w:pos="360"/>
        </w:tabs>
        <w:ind w:left="360" w:hanging="360"/>
      </w:pPr>
    </w:lvl>
    <w:lvl w:ilvl="4" w:tplc="7EE8EA7C">
      <w:numFmt w:val="none"/>
      <w:lvlText w:val=""/>
      <w:lvlJc w:val="left"/>
      <w:pPr>
        <w:tabs>
          <w:tab w:val="num" w:pos="360"/>
        </w:tabs>
        <w:ind w:left="360" w:hanging="360"/>
      </w:pPr>
    </w:lvl>
    <w:lvl w:ilvl="5" w:tplc="5D5E6A00">
      <w:numFmt w:val="none"/>
      <w:lvlText w:val=""/>
      <w:lvlJc w:val="left"/>
      <w:pPr>
        <w:tabs>
          <w:tab w:val="num" w:pos="360"/>
        </w:tabs>
        <w:ind w:left="360" w:hanging="360"/>
      </w:pPr>
    </w:lvl>
    <w:lvl w:ilvl="6" w:tplc="0B30AB50">
      <w:numFmt w:val="none"/>
      <w:lvlText w:val=""/>
      <w:lvlJc w:val="left"/>
      <w:pPr>
        <w:tabs>
          <w:tab w:val="num" w:pos="360"/>
        </w:tabs>
        <w:ind w:left="360" w:hanging="360"/>
      </w:pPr>
    </w:lvl>
    <w:lvl w:ilvl="7" w:tplc="C3BCB5C4">
      <w:numFmt w:val="none"/>
      <w:lvlText w:val=""/>
      <w:lvlJc w:val="left"/>
      <w:pPr>
        <w:tabs>
          <w:tab w:val="num" w:pos="360"/>
        </w:tabs>
        <w:ind w:left="360" w:hanging="360"/>
      </w:pPr>
    </w:lvl>
    <w:lvl w:ilvl="8" w:tplc="AE3CA49C">
      <w:numFmt w:val="none"/>
      <w:lvlText w:val=""/>
      <w:lvlJc w:val="left"/>
      <w:pPr>
        <w:tabs>
          <w:tab w:val="num" w:pos="360"/>
        </w:tabs>
        <w:ind w:left="360" w:hanging="360"/>
      </w:pPr>
    </w:lvl>
  </w:abstractNum>
  <w:num w:numId="1" w16cid:durableId="229075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BEE"/>
    <w:rsid w:val="003D350F"/>
    <w:rsid w:val="00A44BEE"/>
    <w:rsid w:val="00CC05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5492"/>
  <w15:docId w15:val="{7B53B1EB-8514-417F-9185-6407F267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kern w:val="1"/>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keepLines/>
      <w:spacing w:before="360" w:after="80"/>
      <w:outlineLvl w:val="0"/>
    </w:pPr>
    <w:rPr>
      <w:rFonts w:ascii="Aptos Display" w:eastAsia="Aptos Display" w:hAnsi="Aptos Display" w:cs="Aptos Display"/>
      <w:color w:val="0F4761"/>
      <w:sz w:val="40"/>
      <w:szCs w:val="40"/>
    </w:rPr>
  </w:style>
  <w:style w:type="paragraph" w:styleId="berschrift2">
    <w:name w:val="heading 2"/>
    <w:basedOn w:val="Standard"/>
    <w:next w:val="Standard"/>
    <w:qFormat/>
    <w:pPr>
      <w:keepNext/>
      <w:keepLines/>
      <w:spacing w:before="160" w:after="80"/>
      <w:outlineLvl w:val="1"/>
    </w:pPr>
    <w:rPr>
      <w:rFonts w:ascii="Aptos Display" w:eastAsia="Aptos Display" w:hAnsi="Aptos Display" w:cs="Aptos Display"/>
      <w:color w:val="0F4761"/>
      <w:sz w:val="32"/>
      <w:szCs w:val="32"/>
    </w:rPr>
  </w:style>
  <w:style w:type="paragraph" w:styleId="berschrift3">
    <w:name w:val="heading 3"/>
    <w:basedOn w:val="Standard"/>
    <w:next w:val="Standard"/>
    <w:qFormat/>
    <w:pPr>
      <w:keepNext/>
      <w:keepLines/>
      <w:spacing w:before="160" w:after="80"/>
      <w:outlineLvl w:val="2"/>
    </w:pPr>
    <w:rPr>
      <w:rFonts w:eastAsia="Aptos Display" w:cs="Aptos Display"/>
      <w:color w:val="0F4761"/>
      <w:sz w:val="28"/>
      <w:szCs w:val="28"/>
    </w:rPr>
  </w:style>
  <w:style w:type="paragraph" w:styleId="berschrift4">
    <w:name w:val="heading 4"/>
    <w:basedOn w:val="Standard"/>
    <w:next w:val="Standard"/>
    <w:qFormat/>
    <w:pPr>
      <w:keepNext/>
      <w:keepLines/>
      <w:spacing w:before="80" w:after="40"/>
      <w:outlineLvl w:val="3"/>
    </w:pPr>
    <w:rPr>
      <w:rFonts w:eastAsia="Aptos Display" w:cs="Aptos Display"/>
      <w:i/>
      <w:iCs/>
      <w:color w:val="0F4761"/>
    </w:rPr>
  </w:style>
  <w:style w:type="paragraph" w:styleId="berschrift5">
    <w:name w:val="heading 5"/>
    <w:basedOn w:val="Standard"/>
    <w:next w:val="Standard"/>
    <w:qFormat/>
    <w:pPr>
      <w:keepNext/>
      <w:keepLines/>
      <w:spacing w:before="80" w:after="40"/>
      <w:outlineLvl w:val="4"/>
    </w:pPr>
    <w:rPr>
      <w:rFonts w:eastAsia="Aptos Display" w:cs="Aptos Display"/>
      <w:color w:val="0F4761"/>
    </w:rPr>
  </w:style>
  <w:style w:type="paragraph" w:styleId="berschrift6">
    <w:name w:val="heading 6"/>
    <w:basedOn w:val="Standard"/>
    <w:next w:val="Standard"/>
    <w:qFormat/>
    <w:pPr>
      <w:keepNext/>
      <w:keepLines/>
      <w:spacing w:before="40" w:after="0"/>
      <w:outlineLvl w:val="5"/>
    </w:pPr>
    <w:rPr>
      <w:rFonts w:eastAsia="Aptos Display" w:cs="Aptos Display"/>
      <w:i/>
      <w:iCs/>
      <w:color w:val="595959"/>
    </w:rPr>
  </w:style>
  <w:style w:type="paragraph" w:styleId="berschrift7">
    <w:name w:val="heading 7"/>
    <w:basedOn w:val="Standard"/>
    <w:next w:val="Standard"/>
    <w:qFormat/>
    <w:pPr>
      <w:keepNext/>
      <w:keepLines/>
      <w:spacing w:before="40" w:after="0"/>
      <w:outlineLvl w:val="6"/>
    </w:pPr>
    <w:rPr>
      <w:rFonts w:eastAsia="Aptos Display" w:cs="Aptos Display"/>
      <w:color w:val="595959"/>
    </w:rPr>
  </w:style>
  <w:style w:type="paragraph" w:styleId="berschrift8">
    <w:name w:val="heading 8"/>
    <w:basedOn w:val="Standard"/>
    <w:next w:val="Standard"/>
    <w:qFormat/>
    <w:pPr>
      <w:keepNext/>
      <w:keepLines/>
      <w:spacing w:after="0"/>
      <w:outlineLvl w:val="7"/>
    </w:pPr>
    <w:rPr>
      <w:rFonts w:eastAsia="Aptos Display" w:cs="Aptos Display"/>
      <w:i/>
      <w:iCs/>
      <w:color w:val="272727"/>
    </w:rPr>
  </w:style>
  <w:style w:type="paragraph" w:styleId="berschrift9">
    <w:name w:val="heading 9"/>
    <w:basedOn w:val="Standard"/>
    <w:next w:val="Standard"/>
    <w:qFormat/>
    <w:pPr>
      <w:keepNext/>
      <w:keepLines/>
      <w:spacing w:after="0"/>
      <w:outlineLvl w:val="8"/>
    </w:pPr>
    <w:rPr>
      <w:rFonts w:eastAsia="Aptos Display" w:cs="Aptos Display"/>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pPr>
      <w:spacing w:after="80" w:line="240" w:lineRule="auto"/>
      <w:contextualSpacing/>
    </w:pPr>
    <w:rPr>
      <w:rFonts w:ascii="Aptos Display" w:eastAsia="Aptos Display" w:hAnsi="Aptos Display" w:cs="Aptos Display"/>
      <w:spacing w:val="-10"/>
      <w:sz w:val="56"/>
      <w:szCs w:val="56"/>
    </w:rPr>
  </w:style>
  <w:style w:type="paragraph" w:styleId="Untertitel">
    <w:name w:val="Subtitle"/>
    <w:basedOn w:val="Standard"/>
    <w:next w:val="Standard"/>
    <w:qFormat/>
    <w:rPr>
      <w:rFonts w:eastAsia="Aptos Display" w:cs="Aptos Display"/>
      <w:color w:val="595959"/>
      <w:spacing w:val="15"/>
      <w:sz w:val="28"/>
      <w:szCs w:val="28"/>
    </w:rPr>
  </w:style>
  <w:style w:type="paragraph" w:styleId="Zitat">
    <w:name w:val="Quote"/>
    <w:basedOn w:val="Standard"/>
    <w:next w:val="Standard"/>
    <w:qFormat/>
    <w:pPr>
      <w:spacing w:before="160"/>
      <w:jc w:val="center"/>
    </w:pPr>
    <w:rPr>
      <w:i/>
      <w:iCs/>
      <w:color w:val="404040"/>
    </w:rPr>
  </w:style>
  <w:style w:type="paragraph" w:styleId="Listenabsatz">
    <w:name w:val="List Paragraph"/>
    <w:basedOn w:val="Standard"/>
    <w:qFormat/>
    <w:pPr>
      <w:ind w:left="720"/>
      <w:contextualSpacing/>
    </w:pPr>
  </w:style>
  <w:style w:type="paragraph" w:styleId="IntensivesZitat">
    <w:name w:val="Intense Quote"/>
    <w:basedOn w:val="Standard"/>
    <w:next w:val="Standard"/>
    <w:qFormat/>
    <w:pPr>
      <w:pBdr>
        <w:top w:val="single" w:sz="4" w:space="10" w:color="0F4761"/>
        <w:left w:val="nil"/>
        <w:bottom w:val="single" w:sz="4" w:space="10" w:color="0F4761"/>
        <w:right w:val="nil"/>
        <w:between w:val="nil"/>
      </w:pBdr>
      <w:spacing w:before="360" w:after="360"/>
      <w:ind w:left="864" w:right="864"/>
      <w:jc w:val="center"/>
    </w:pPr>
    <w:rPr>
      <w:i/>
      <w:iCs/>
      <w:color w:val="0F4761"/>
    </w:rPr>
  </w:style>
  <w:style w:type="character" w:customStyle="1" w:styleId="berschrift1Zchn">
    <w:name w:val="Überschrift 1 Zchn"/>
    <w:basedOn w:val="Absatz-Standardschriftart"/>
    <w:rPr>
      <w:rFonts w:ascii="Aptos Display" w:eastAsia="Aptos Display" w:hAnsi="Aptos Display" w:cs="Aptos Display"/>
      <w:color w:val="0F4761"/>
      <w:sz w:val="40"/>
      <w:szCs w:val="40"/>
    </w:rPr>
  </w:style>
  <w:style w:type="character" w:customStyle="1" w:styleId="berschrift2Zchn">
    <w:name w:val="Überschrift 2 Zchn"/>
    <w:basedOn w:val="Absatz-Standardschriftart"/>
    <w:rPr>
      <w:rFonts w:ascii="Aptos Display" w:eastAsia="Aptos Display" w:hAnsi="Aptos Display" w:cs="Aptos Display"/>
      <w:color w:val="0F4761"/>
      <w:sz w:val="32"/>
      <w:szCs w:val="32"/>
    </w:rPr>
  </w:style>
  <w:style w:type="character" w:customStyle="1" w:styleId="berschrift3Zchn">
    <w:name w:val="Überschrift 3 Zchn"/>
    <w:basedOn w:val="Absatz-Standardschriftart"/>
    <w:rPr>
      <w:rFonts w:eastAsia="Aptos Display" w:cs="Aptos Display"/>
      <w:color w:val="0F4761"/>
      <w:sz w:val="28"/>
      <w:szCs w:val="28"/>
    </w:rPr>
  </w:style>
  <w:style w:type="character" w:customStyle="1" w:styleId="berschrift4Zchn">
    <w:name w:val="Überschrift 4 Zchn"/>
    <w:basedOn w:val="Absatz-Standardschriftart"/>
    <w:rPr>
      <w:rFonts w:eastAsia="Aptos Display" w:cs="Aptos Display"/>
      <w:i/>
      <w:iCs/>
      <w:color w:val="0F4761"/>
    </w:rPr>
  </w:style>
  <w:style w:type="character" w:customStyle="1" w:styleId="berschrift5Zchn">
    <w:name w:val="Überschrift 5 Zchn"/>
    <w:basedOn w:val="Absatz-Standardschriftart"/>
    <w:rPr>
      <w:rFonts w:eastAsia="Aptos Display" w:cs="Aptos Display"/>
      <w:color w:val="0F4761"/>
    </w:rPr>
  </w:style>
  <w:style w:type="character" w:customStyle="1" w:styleId="berschrift6Zchn">
    <w:name w:val="Überschrift 6 Zchn"/>
    <w:basedOn w:val="Absatz-Standardschriftart"/>
    <w:rPr>
      <w:rFonts w:eastAsia="Aptos Display" w:cs="Aptos Display"/>
      <w:i/>
      <w:iCs/>
      <w:color w:val="595959"/>
    </w:rPr>
  </w:style>
  <w:style w:type="character" w:customStyle="1" w:styleId="berschrift7Zchn">
    <w:name w:val="Überschrift 7 Zchn"/>
    <w:basedOn w:val="Absatz-Standardschriftart"/>
    <w:rPr>
      <w:rFonts w:eastAsia="Aptos Display" w:cs="Aptos Display"/>
      <w:color w:val="595959"/>
    </w:rPr>
  </w:style>
  <w:style w:type="character" w:customStyle="1" w:styleId="berschrift8Zchn">
    <w:name w:val="Überschrift 8 Zchn"/>
    <w:basedOn w:val="Absatz-Standardschriftart"/>
    <w:rPr>
      <w:rFonts w:eastAsia="Aptos Display" w:cs="Aptos Display"/>
      <w:i/>
      <w:iCs/>
      <w:color w:val="272727"/>
    </w:rPr>
  </w:style>
  <w:style w:type="character" w:customStyle="1" w:styleId="berschrift9Zchn">
    <w:name w:val="Überschrift 9 Zchn"/>
    <w:basedOn w:val="Absatz-Standardschriftart"/>
    <w:rPr>
      <w:rFonts w:eastAsia="Aptos Display" w:cs="Aptos Display"/>
      <w:color w:val="272727"/>
    </w:rPr>
  </w:style>
  <w:style w:type="character" w:customStyle="1" w:styleId="TitelZchn">
    <w:name w:val="Titel Zchn"/>
    <w:basedOn w:val="Absatz-Standardschriftart"/>
    <w:rPr>
      <w:rFonts w:ascii="Aptos Display" w:eastAsia="Aptos Display" w:hAnsi="Aptos Display" w:cs="Aptos Display"/>
      <w:spacing w:val="-10"/>
      <w:kern w:val="1"/>
      <w:sz w:val="56"/>
      <w:szCs w:val="56"/>
    </w:rPr>
  </w:style>
  <w:style w:type="character" w:customStyle="1" w:styleId="UntertitelZchn">
    <w:name w:val="Untertitel Zchn"/>
    <w:basedOn w:val="Absatz-Standardschriftart"/>
    <w:rPr>
      <w:rFonts w:eastAsia="Aptos Display" w:cs="Aptos Display"/>
      <w:color w:val="595959"/>
      <w:spacing w:val="15"/>
      <w:sz w:val="28"/>
      <w:szCs w:val="28"/>
    </w:rPr>
  </w:style>
  <w:style w:type="character" w:customStyle="1" w:styleId="ZitatZchn">
    <w:name w:val="Zitat Zchn"/>
    <w:basedOn w:val="Absatz-Standardschriftart"/>
    <w:rPr>
      <w:i/>
      <w:iCs/>
      <w:color w:val="404040"/>
    </w:rPr>
  </w:style>
  <w:style w:type="character" w:styleId="IntensiveHervorhebung">
    <w:name w:val="Intense Emphasis"/>
    <w:basedOn w:val="Absatz-Standardschriftart"/>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0"/>
    </w:rPr>
  </w:style>
  <w:style w:type="character" w:styleId="Hyperlink">
    <w:name w:val="Hyperlink"/>
    <w:basedOn w:val="Absatz-Standardschriftart"/>
    <w:rPr>
      <w:color w:val="467886"/>
      <w:u w:val="single"/>
    </w:rPr>
  </w:style>
  <w:style w:type="character" w:customStyle="1" w:styleId="NichtaufgelsteErwhnung1">
    <w:name w:val="Nicht aufgelöste Erwähnung1"/>
    <w:basedOn w:val="Absatz-Standardschriftar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erspektive-online.net/2026/03/wegen-kritischer-berichterstattung-eu-treibt-familie-von-hueseyin-dogru-in-den-r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6089</Characters>
  <Application>Microsoft Office Word</Application>
  <DocSecurity>0</DocSecurity>
  <Lines>50</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Krämer, Ralf</dc:creator>
  <cp:keywords/>
  <dc:description/>
  <cp:lastModifiedBy>Krämer, Ralf</cp:lastModifiedBy>
  <cp:revision>2</cp:revision>
  <cp:lastPrinted>2026-05-15T15:04:00Z</cp:lastPrinted>
  <dcterms:created xsi:type="dcterms:W3CDTF">2026-06-05T15:08:00Z</dcterms:created>
  <dcterms:modified xsi:type="dcterms:W3CDTF">2026-06-05T15:08:00Z</dcterms:modified>
</cp:coreProperties>
</file>